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B5" w:rsidRDefault="00FF5EDF">
      <w:pPr>
        <w:ind w:left="284"/>
        <w:jc w:val="center"/>
        <w:rPr>
          <w:sz w:val="19"/>
          <w:szCs w:val="19"/>
        </w:rPr>
      </w:pPr>
      <w:r>
        <w:t>Филиал ПАО «Россети Центр и Приволжье» - «Калугаэнерго»</w:t>
      </w:r>
    </w:p>
    <w:p w:rsidR="00020EB5" w:rsidRDefault="00020EB5">
      <w:pPr>
        <w:ind w:left="284"/>
        <w:jc w:val="both"/>
        <w:rPr>
          <w:sz w:val="19"/>
          <w:szCs w:val="19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4842"/>
        <w:gridCol w:w="4744"/>
      </w:tblGrid>
      <w:tr w:rsidR="006B4275" w:rsidTr="006B4275">
        <w:trPr>
          <w:trHeight w:val="2265"/>
        </w:trPr>
        <w:tc>
          <w:tcPr>
            <w:tcW w:w="4842" w:type="dxa"/>
          </w:tcPr>
          <w:p w:rsidR="006B4275" w:rsidRPr="00D13B3E" w:rsidRDefault="006B4275" w:rsidP="002907AF">
            <w:pPr>
              <w:ind w:hanging="4"/>
              <w:rPr>
                <w:bCs/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СОГЛАСОВАНО</w:t>
            </w:r>
            <w:r w:rsidRPr="00D13B3E">
              <w:rPr>
                <w:bCs/>
                <w:sz w:val="24"/>
                <w:szCs w:val="24"/>
              </w:rPr>
              <w:t>: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Начальник Управления физической защиты объектов и информационной безопасности Департамента защиты объектов и информационной безопасности </w:t>
            </w:r>
            <w:r>
              <w:rPr>
                <w:sz w:val="24"/>
                <w:szCs w:val="24"/>
              </w:rPr>
              <w:t xml:space="preserve">                  </w:t>
            </w:r>
            <w:r w:rsidRPr="00D13B3E">
              <w:rPr>
                <w:sz w:val="24"/>
                <w:szCs w:val="24"/>
              </w:rPr>
              <w:t>ПАО «Россети Центр»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_____________________/ М.А. Хлопцев /     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459"/>
              <w:jc w:val="both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  <w:tc>
          <w:tcPr>
            <w:tcW w:w="4744" w:type="dxa"/>
          </w:tcPr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УТВЕРЖДАЮ:</w:t>
            </w:r>
          </w:p>
          <w:p w:rsidR="006B4275" w:rsidRPr="00417D0C" w:rsidRDefault="006B4275" w:rsidP="002907AF">
            <w:pPr>
              <w:rPr>
                <w:b/>
                <w:bCs/>
                <w:sz w:val="24"/>
                <w:szCs w:val="24"/>
              </w:rPr>
            </w:pPr>
            <w:r w:rsidRPr="00417D0C">
              <w:rPr>
                <w:sz w:val="24"/>
                <w:szCs w:val="24"/>
              </w:rPr>
              <w:t xml:space="preserve">Первый заместитель директора </w:t>
            </w:r>
            <w:r w:rsidRPr="00417D0C">
              <w:rPr>
                <w:b/>
                <w:bCs/>
                <w:sz w:val="24"/>
                <w:szCs w:val="24"/>
              </w:rPr>
              <w:t xml:space="preserve">– </w:t>
            </w: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  <w:r w:rsidRPr="00417D0C">
              <w:rPr>
                <w:bCs/>
                <w:sz w:val="24"/>
                <w:szCs w:val="24"/>
              </w:rPr>
              <w:t xml:space="preserve">главный инженер </w:t>
            </w:r>
            <w:r w:rsidRPr="00417D0C">
              <w:rPr>
                <w:sz w:val="24"/>
                <w:szCs w:val="24"/>
              </w:rPr>
              <w:t xml:space="preserve">филиала </w:t>
            </w:r>
            <w:r w:rsidRPr="00D13B3E">
              <w:rPr>
                <w:sz w:val="24"/>
                <w:szCs w:val="24"/>
              </w:rPr>
              <w:t>ПАО «Россети Центр</w:t>
            </w:r>
            <w:r>
              <w:rPr>
                <w:sz w:val="24"/>
                <w:szCs w:val="24"/>
              </w:rPr>
              <w:t xml:space="preserve"> и Приволжье</w:t>
            </w:r>
            <w:r w:rsidRPr="00D13B3E">
              <w:rPr>
                <w:sz w:val="24"/>
                <w:szCs w:val="24"/>
              </w:rPr>
              <w:t>»</w:t>
            </w:r>
            <w:r w:rsidRPr="00417D0C">
              <w:rPr>
                <w:sz w:val="24"/>
                <w:szCs w:val="24"/>
              </w:rPr>
              <w:t xml:space="preserve"> «Калугаэнерго»</w:t>
            </w: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417D0C">
              <w:rPr>
                <w:sz w:val="24"/>
                <w:szCs w:val="24"/>
              </w:rPr>
              <w:t xml:space="preserve">__ </w:t>
            </w:r>
            <w:r>
              <w:rPr>
                <w:sz w:val="24"/>
                <w:szCs w:val="24"/>
              </w:rPr>
              <w:t xml:space="preserve"> </w:t>
            </w:r>
            <w:r w:rsidRPr="00417D0C">
              <w:rPr>
                <w:sz w:val="24"/>
                <w:szCs w:val="24"/>
              </w:rPr>
              <w:t>/</w:t>
            </w:r>
            <w:r w:rsidRPr="00417D0C">
              <w:rPr>
                <w:sz w:val="24"/>
                <w:szCs w:val="24"/>
                <w:u w:val="single"/>
              </w:rPr>
              <w:t>А.Ю. Митюхин</w:t>
            </w:r>
            <w:r w:rsidRPr="00417D0C">
              <w:rPr>
                <w:sz w:val="24"/>
                <w:szCs w:val="24"/>
              </w:rPr>
              <w:t>/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-109"/>
              <w:jc w:val="both"/>
              <w:rPr>
                <w:sz w:val="24"/>
                <w:szCs w:val="24"/>
                <w:highlight w:val="yellow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</w:tr>
    </w:tbl>
    <w:p w:rsidR="00020EB5" w:rsidRDefault="00020EB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FF5EDF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020EB5" w:rsidRDefault="00020EB5">
      <w:pPr>
        <w:spacing w:line="360" w:lineRule="auto"/>
        <w:jc w:val="center"/>
        <w:outlineLvl w:val="0"/>
        <w:rPr>
          <w:b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u w:val="single"/>
        </w:rPr>
        <w:t xml:space="preserve">Реконструкция ПС 35 кВ  </w:t>
      </w:r>
      <w:r w:rsidR="00354984">
        <w:rPr>
          <w:b/>
          <w:color w:val="000000"/>
          <w:sz w:val="24"/>
          <w:u w:val="single"/>
        </w:rPr>
        <w:t>Жиздра</w:t>
      </w:r>
      <w:r>
        <w:rPr>
          <w:b/>
          <w:color w:val="000000"/>
          <w:sz w:val="24"/>
          <w:u w:val="single"/>
        </w:rPr>
        <w:t xml:space="preserve">  -мероприятия по совершенствованию антитеррористической и противодиверсионной защищенности электросетевых объектов филиала "Калугаэнерго" – устройство ограждения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</w:pPr>
      <w:r>
        <w:rPr>
          <w:b/>
          <w:color w:val="000000"/>
          <w:sz w:val="24"/>
        </w:rPr>
        <w:t> </w:t>
      </w:r>
    </w:p>
    <w:p w:rsidR="00020EB5" w:rsidRDefault="003549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 w:rsidRPr="00354984">
        <w:rPr>
          <w:b/>
          <w:bCs/>
          <w:color w:val="000000"/>
          <w:u w:val="single"/>
        </w:rPr>
        <w:t>KAE-00146-110</w:t>
      </w:r>
    </w:p>
    <w:p w:rsidR="00020EB5" w:rsidRDefault="00020EB5">
      <w:pPr>
        <w:tabs>
          <w:tab w:val="left" w:pos="7938"/>
        </w:tabs>
        <w:spacing w:line="480" w:lineRule="auto"/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tabs>
          <w:tab w:val="left" w:pos="36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Калуга, 202</w:t>
      </w:r>
      <w:r w:rsidR="006B427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положения:</w:t>
      </w:r>
    </w:p>
    <w:p w:rsidR="00020EB5" w:rsidRDefault="00020EB5">
      <w:pPr>
        <w:pStyle w:val="af8"/>
        <w:tabs>
          <w:tab w:val="left" w:pos="851"/>
        </w:tabs>
        <w:ind w:left="0"/>
        <w:jc w:val="both"/>
        <w:rPr>
          <w:b/>
          <w:bCs/>
          <w:sz w:val="24"/>
          <w:szCs w:val="24"/>
        </w:rPr>
      </w:pPr>
    </w:p>
    <w:p w:rsidR="00020EB5" w:rsidRDefault="00FF5EDF" w:rsidP="00656916">
      <w:pPr>
        <w:widowControl/>
        <w:numPr>
          <w:ilvl w:val="1"/>
          <w:numId w:val="10"/>
        </w:numPr>
        <w:tabs>
          <w:tab w:val="clear" w:pos="-289"/>
          <w:tab w:val="left" w:pos="-993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pacing w:val="-2"/>
          <w:sz w:val="24"/>
        </w:rPr>
        <w:t>Выполнение строительно-монтажных работ по оборудованию инженерно-техническими системами охраны</w:t>
      </w:r>
      <w:r>
        <w:rPr>
          <w:color w:val="000000"/>
          <w:sz w:val="24"/>
        </w:rPr>
        <w:t xml:space="preserve"> ПС 35 кВ  </w:t>
      </w:r>
      <w:r w:rsidR="00354984">
        <w:rPr>
          <w:color w:val="000000"/>
          <w:sz w:val="24"/>
        </w:rPr>
        <w:t>Жиздра</w:t>
      </w:r>
      <w:r>
        <w:rPr>
          <w:color w:val="000000"/>
          <w:sz w:val="24"/>
        </w:rPr>
        <w:t xml:space="preserve"> филиала «Калугаэнерго</w:t>
      </w:r>
      <w:r>
        <w:rPr>
          <w:sz w:val="24"/>
          <w:szCs w:val="24"/>
        </w:rPr>
        <w:t xml:space="preserve"> должна производиться в полном соответствии с проектом, шифр </w:t>
      </w:r>
      <w:r w:rsidR="00656916" w:rsidRPr="00656916">
        <w:rPr>
          <w:sz w:val="24"/>
          <w:szCs w:val="24"/>
        </w:rPr>
        <w:t>4020100208-17/05/2024-КС1</w:t>
      </w:r>
      <w:r>
        <w:rPr>
          <w:sz w:val="24"/>
          <w:szCs w:val="24"/>
        </w:rPr>
        <w:t>;</w:t>
      </w:r>
    </w:p>
    <w:p w:rsidR="00020EB5" w:rsidRDefault="00FF5EDF" w:rsidP="00656916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силовое и вторичное оборудование для строительства подстанции поставляется Подрядчиком, все строительные материалы, кабельно-проводниковая продукция поставляются Подрядчиком согласно проектным спецификациям, ГОСТ и ТУ.    </w:t>
      </w:r>
    </w:p>
    <w:p w:rsidR="00020EB5" w:rsidRDefault="00FF5EDF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ind w:left="567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расположения объекта: Калужская область, </w:t>
      </w:r>
      <w:r w:rsidR="00354984">
        <w:rPr>
          <w:sz w:val="24"/>
          <w:szCs w:val="24"/>
        </w:rPr>
        <w:t>Жиздринск</w:t>
      </w:r>
      <w:r>
        <w:rPr>
          <w:sz w:val="24"/>
          <w:szCs w:val="24"/>
        </w:rPr>
        <w:t xml:space="preserve">ий район,  </w:t>
      </w:r>
      <w:r w:rsidR="006B4275">
        <w:rPr>
          <w:sz w:val="24"/>
          <w:szCs w:val="24"/>
        </w:rPr>
        <w:t>г</w:t>
      </w:r>
      <w:r>
        <w:rPr>
          <w:sz w:val="24"/>
          <w:szCs w:val="24"/>
        </w:rPr>
        <w:t xml:space="preserve">. </w:t>
      </w:r>
      <w:r w:rsidR="00354984">
        <w:rPr>
          <w:sz w:val="24"/>
          <w:szCs w:val="24"/>
        </w:rPr>
        <w:t>Жиздра</w:t>
      </w:r>
      <w:r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2"/>
          <w:sz w:val="24"/>
          <w:szCs w:val="24"/>
        </w:rPr>
      </w:pPr>
      <w:r>
        <w:rPr>
          <w:b/>
          <w:sz w:val="24"/>
          <w:szCs w:val="24"/>
        </w:rPr>
        <w:t>Основание</w:t>
      </w:r>
      <w:r>
        <w:rPr>
          <w:b/>
          <w:color w:val="000000"/>
          <w:spacing w:val="-1"/>
          <w:sz w:val="24"/>
          <w:szCs w:val="24"/>
        </w:rPr>
        <w:t xml:space="preserve"> для проведения </w:t>
      </w:r>
      <w:r>
        <w:rPr>
          <w:b/>
          <w:sz w:val="24"/>
          <w:szCs w:val="24"/>
        </w:rPr>
        <w:t>работ</w:t>
      </w:r>
      <w:r>
        <w:rPr>
          <w:b/>
          <w:iCs/>
          <w:color w:val="000000"/>
          <w:spacing w:val="5"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709"/>
        </w:tabs>
        <w:spacing w:line="276" w:lineRule="auto"/>
        <w:jc w:val="both"/>
        <w:rPr>
          <w:iCs/>
          <w:spacing w:val="2"/>
          <w:sz w:val="24"/>
          <w:szCs w:val="24"/>
        </w:rPr>
      </w:pPr>
      <w:r>
        <w:rPr>
          <w:i/>
          <w:iCs/>
          <w:color w:val="000000"/>
          <w:spacing w:val="2"/>
          <w:sz w:val="24"/>
          <w:szCs w:val="24"/>
        </w:rPr>
        <w:t xml:space="preserve">- </w:t>
      </w:r>
      <w:r>
        <w:rPr>
          <w:iCs/>
          <w:spacing w:val="2"/>
          <w:sz w:val="24"/>
          <w:szCs w:val="24"/>
        </w:rPr>
        <w:t>инвестиционная программа филиала «Калугаэнерго» на 202</w:t>
      </w:r>
      <w:r w:rsidR="001A7C0B">
        <w:rPr>
          <w:iCs/>
          <w:spacing w:val="2"/>
          <w:sz w:val="24"/>
          <w:szCs w:val="24"/>
        </w:rPr>
        <w:t>6</w:t>
      </w:r>
      <w:r>
        <w:rPr>
          <w:iCs/>
          <w:spacing w:val="2"/>
          <w:sz w:val="24"/>
          <w:szCs w:val="24"/>
        </w:rPr>
        <w:t xml:space="preserve"> год, идентификационный номер:  </w:t>
      </w:r>
      <w:r w:rsidR="00354984" w:rsidRPr="00354984">
        <w:rPr>
          <w:color w:val="000000"/>
          <w:sz w:val="24"/>
          <w:szCs w:val="24"/>
        </w:rPr>
        <w:t>KAE-00146-110</w:t>
      </w:r>
      <w:r>
        <w:rPr>
          <w:iCs/>
          <w:spacing w:val="2"/>
          <w:sz w:val="24"/>
          <w:szCs w:val="24"/>
        </w:rPr>
        <w:t>.</w:t>
      </w:r>
    </w:p>
    <w:p w:rsidR="00020EB5" w:rsidRDefault="00020EB5">
      <w:pPr>
        <w:shd w:val="clear" w:color="auto" w:fill="FFFFFF"/>
        <w:tabs>
          <w:tab w:val="left" w:pos="709"/>
        </w:tabs>
        <w:jc w:val="both"/>
        <w:rPr>
          <w:b/>
          <w:iCs/>
          <w:color w:val="000000"/>
          <w:spacing w:val="2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>
        <w:rPr>
          <w:b/>
          <w:i/>
          <w:color w:val="000000"/>
          <w:spacing w:val="-1"/>
          <w:sz w:val="24"/>
          <w:szCs w:val="24"/>
        </w:rPr>
        <w:t>.</w:t>
      </w:r>
    </w:p>
    <w:p w:rsidR="00020EB5" w:rsidRDefault="00FF5EDF">
      <w:pPr>
        <w:shd w:val="clear" w:color="auto" w:fill="FFFFFF"/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Строительно-монтажные и пусконаладочные работы должны быть выполнены в соответствии с:</w:t>
      </w:r>
    </w:p>
    <w:p w:rsidR="00020EB5" w:rsidRDefault="00FF5EDF">
      <w:pPr>
        <w:numPr>
          <w:ilvl w:val="0"/>
          <w:numId w:val="3"/>
        </w:numPr>
        <w:shd w:val="clear" w:color="auto" w:fill="FFFFFF"/>
        <w:tabs>
          <w:tab w:val="left" w:pos="540"/>
          <w:tab w:val="left" w:pos="851"/>
        </w:tabs>
        <w:spacing w:line="276" w:lineRule="auto"/>
        <w:ind w:left="0" w:firstLine="0"/>
        <w:jc w:val="both"/>
        <w:rPr>
          <w:i/>
          <w:iCs/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Проектно-сметной документацией шифр: </w:t>
      </w:r>
      <w:r w:rsidR="00656916" w:rsidRPr="00656916">
        <w:rPr>
          <w:sz w:val="24"/>
          <w:szCs w:val="24"/>
        </w:rPr>
        <w:t>4020100208-17/05/2024-КС1</w:t>
      </w:r>
      <w:r>
        <w:rPr>
          <w:color w:val="000000"/>
          <w:sz w:val="24"/>
          <w:szCs w:val="24"/>
        </w:rPr>
        <w:t>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8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Градостроительный кодекс Российской Федерации</w:t>
        </w:r>
      </w:hyperlink>
      <w:r w:rsidR="00FF5EDF">
        <w:rPr>
          <w:bCs/>
          <w:iCs/>
          <w:sz w:val="24"/>
          <w:szCs w:val="24"/>
        </w:rPr>
        <w:t xml:space="preserve"> (</w:t>
      </w:r>
      <w:hyperlink r:id="rId9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Федеральный закон от 29 декабря 2004 г. № 190-ФЗ</w:t>
        </w:r>
      </w:hyperlink>
      <w:r w:rsidR="00FF5EDF">
        <w:rPr>
          <w:bCs/>
          <w:iCs/>
          <w:sz w:val="24"/>
          <w:szCs w:val="24"/>
        </w:rPr>
        <w:t>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Федеральный закон Российской Федерации </w:t>
      </w:r>
      <w:hyperlink r:id="rId1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>
          <w:rPr>
            <w:rStyle w:val="aff"/>
            <w:bCs/>
            <w:iCs/>
            <w:color w:val="0000AA"/>
            <w:sz w:val="24"/>
            <w:szCs w:val="24"/>
          </w:rPr>
          <w:t>от 12.07.2017 № 187-ФЗ</w:t>
        </w:r>
      </w:hyperlink>
      <w:r>
        <w:rPr>
          <w:bCs/>
          <w:iCs/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Постановление правительства Российской федерации </w:t>
      </w:r>
      <w:hyperlink r:id="rId1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>
          <w:rPr>
            <w:rStyle w:val="aff"/>
            <w:bCs/>
            <w:iCs/>
            <w:color w:val="0000AA"/>
            <w:sz w:val="24"/>
            <w:szCs w:val="24"/>
          </w:rPr>
          <w:t>от 08.02.2018 № 127</w:t>
        </w:r>
      </w:hyperlink>
      <w:r>
        <w:rPr>
          <w:bCs/>
          <w:i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Приказ ФСТЭК России </w:t>
      </w:r>
      <w:hyperlink r:id="rId1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>
          <w:rPr>
            <w:rStyle w:val="aff"/>
            <w:bCs/>
            <w:iCs/>
            <w:color w:val="0000AA"/>
            <w:sz w:val="24"/>
            <w:szCs w:val="24"/>
          </w:rPr>
          <w:t>от 25.12.2017 № 239</w:t>
        </w:r>
      </w:hyperlink>
      <w:r>
        <w:rPr>
          <w:bCs/>
          <w:i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ГОСТ Р 51583-2014</w:t>
        </w:r>
      </w:hyperlink>
      <w:r w:rsidR="00FF5EDF">
        <w:rPr>
          <w:bCs/>
          <w:i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</w:t>
      </w:r>
      <w:hyperlink r:id="rId14" w:tooltip="&quot;О порядке проведения строительного контроля при осуществлении строительства, реконструкции и ...&quot;&#10;Постановление Правительства РФ от 21.06.2010 N 468&#10;Статус: Действующий документ (действ. c 06.07.2010)" w:history="1">
        <w:r>
          <w:rPr>
            <w:rStyle w:val="aff"/>
            <w:bCs/>
            <w:iCs/>
            <w:color w:val="0000AA"/>
            <w:sz w:val="24"/>
            <w:szCs w:val="24"/>
          </w:rPr>
          <w:t>от 21.06.2010 № 468</w:t>
        </w:r>
      </w:hyperlink>
      <w:r>
        <w:rPr>
          <w:bCs/>
          <w:iCs/>
          <w:sz w:val="24"/>
          <w:szCs w:val="24"/>
        </w:rPr>
        <w:t>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«</w:t>
      </w:r>
      <w:hyperlink r:id="rId1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Организация строительства»;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>
          <w:rPr>
            <w:rStyle w:val="aff"/>
            <w:bCs/>
            <w:iCs/>
            <w:color w:val="0000AA"/>
            <w:sz w:val="24"/>
            <w:szCs w:val="24"/>
          </w:rPr>
          <w:t>СНиП 12-03-2001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1, Общие требования»;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>
          <w:rPr>
            <w:rStyle w:val="aff"/>
            <w:bCs/>
            <w:iCs/>
            <w:color w:val="0000AA"/>
            <w:sz w:val="24"/>
            <w:szCs w:val="24"/>
          </w:rPr>
          <w:t>СНиП 12-04-2002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2, Строительное производство»;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9" w:tooltip="&quot;ГОСТ 12.3.032-84 Система стандартов безопасности труда (ССБТ). Работы электромонтажные. Общие ...&quot;&#10;(утв. постановлением Госстандарта СССР от 29.04.1984 N 1537)&#10;Применяется с 01.01.1985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ГОСТ 12.3.032-84</w:t>
        </w:r>
      </w:hyperlink>
      <w:r w:rsidR="00FF5EDF">
        <w:rPr>
          <w:sz w:val="24"/>
          <w:szCs w:val="24"/>
        </w:rPr>
        <w:t> ССТБ «Работы электромонтажные. Общие требования безопасности»;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0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 xml:space="preserve"> Приемка в эксплуатацию законченных строительством объектов. Основные положения. Актуализированная редакция </w:t>
      </w:r>
      <w:hyperlink r:id="rId21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>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2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 xml:space="preserve"> «Электротехнические устройства. Актуализированная редакция </w:t>
      </w:r>
      <w:hyperlink r:id="rId23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>»;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4" w:tooltip="&quot;Об утверждении состава и порядка ведения исполнительной документации ...&quot;&#10;Приказ Министерства строительства и жилищно-коммунального хозяйства ...&#10;Статус: Действующий документ. С ограниченным сроком действия (действ. c 01.09.2023 по 31.08.2029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Приказ Министерства строительства и жилищно-коммунального хозяйства Российской Федерации от 16.05.2023 N 344/пр</w:t>
        </w:r>
      </w:hyperlink>
      <w:r w:rsidR="00FF5EDF">
        <w:rPr>
          <w:bCs/>
          <w:iCs/>
          <w:sz w:val="24"/>
          <w:szCs w:val="24"/>
        </w:rPr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</w:t>
      </w:r>
      <w:r w:rsidR="00FF5EDF">
        <w:rPr>
          <w:bCs/>
          <w:iCs/>
          <w:sz w:val="24"/>
          <w:szCs w:val="24"/>
        </w:rPr>
        <w:lastRenderedPageBreak/>
        <w:t>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5" w:tooltip="&quot;И 1.13-07 Инструкция по оформлению приемо-сдаточной документации по электромонтажным работам (с Поправками)&quot;&#10;(утв. Росэлектромонтаж от 12.04.2007)&#10; от 12.04.2007 N 1.13-07&#10;Применяется с 01.08.2007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Инструкция 1.13-07</w:t>
        </w:r>
      </w:hyperlink>
      <w:r w:rsidR="00FF5EDF">
        <w:rPr>
          <w:sz w:val="24"/>
          <w:szCs w:val="24"/>
        </w:rPr>
        <w:t xml:space="preserve"> «Инструкция по оформлению приемо-сдаточной документации по </w:t>
      </w:r>
      <w:r w:rsidR="00FF5EDF">
        <w:rPr>
          <w:bCs/>
          <w:iCs/>
          <w:sz w:val="24"/>
          <w:szCs w:val="24"/>
        </w:rPr>
        <w:t>электромонтажным</w:t>
      </w:r>
      <w:r w:rsidR="00FF5EDF">
        <w:rPr>
          <w:sz w:val="24"/>
          <w:szCs w:val="24"/>
        </w:rPr>
        <w:t xml:space="preserve"> работам»;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Разработанные и утвержденные технологические карты;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эксплуатации электроустановок (Министерства труда и социальной защиты РФ от15 декабря 2020 года № 903н);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rStyle w:val="aff"/>
            <w:color w:val="E48B00"/>
            <w:sz w:val="24"/>
            <w:szCs w:val="24"/>
          </w:rPr>
          <w:t>ПУЭ</w:t>
        </w:r>
      </w:hyperlink>
      <w:r w:rsidR="00FF5EDF">
        <w:rPr>
          <w:sz w:val="24"/>
          <w:szCs w:val="24"/>
        </w:rPr>
        <w:t xml:space="preserve"> (действующее издание);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ПТЭ (действующее издание)</w:t>
      </w:r>
      <w:r>
        <w:rPr>
          <w:sz w:val="24"/>
          <w:szCs w:val="24"/>
          <w:lang w:val="en-US"/>
        </w:rPr>
        <w:t>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7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 xml:space="preserve"> Свод правил «Тепловая защита зданий», актуализированная версия </w:t>
      </w:r>
      <w:hyperlink r:id="rId28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>;</w:t>
      </w:r>
    </w:p>
    <w:p w:rsidR="00020EB5" w:rsidRDefault="003F2C1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9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FF5EDF">
          <w:rPr>
            <w:rStyle w:val="aff"/>
            <w:color w:val="0000AA"/>
            <w:sz w:val="24"/>
            <w:szCs w:val="24"/>
          </w:rPr>
          <w:t>ГОСТ Р 54862-2011</w:t>
        </w:r>
      </w:hyperlink>
      <w:r w:rsidR="00FF5EDF">
        <w:rPr>
          <w:sz w:val="24"/>
          <w:szCs w:val="24"/>
        </w:rPr>
        <w:t xml:space="preserve"> Энергоэффективность зданий. Методы определения влияния автоматизации, управления и эксплуатации здания;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 (действующая редакция);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документации, производства строительно-монтажных работ» РГ ЦА БП 19/05-05/2023;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РГ ЦА БП 19/10-01/2023;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«Россети Центр» / ПАО «Россети Центр и Приволжье»;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 РГ ЦА БП 19/08-03/2023 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 </w:t>
      </w:r>
    </w:p>
    <w:p w:rsidR="00020EB5" w:rsidRDefault="00FF5EDF">
      <w:pPr>
        <w:pStyle w:val="aff0"/>
        <w:tabs>
          <w:tab w:val="clear" w:pos="1701"/>
          <w:tab w:val="left" w:pos="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020EB5" w:rsidRDefault="00FF5EDF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iCs/>
          <w:spacing w:val="2"/>
          <w:sz w:val="24"/>
          <w:szCs w:val="24"/>
        </w:rPr>
        <w:lastRenderedPageBreak/>
        <w:t>Объемы и состав работ.</w:t>
      </w:r>
    </w:p>
    <w:p w:rsidR="00020EB5" w:rsidRDefault="00FF5EDF">
      <w:pPr>
        <w:widowControl/>
        <w:tabs>
          <w:tab w:val="left" w:pos="0"/>
          <w:tab w:val="left" w:pos="142"/>
          <w:tab w:val="left" w:pos="567"/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Объемы работ определяются согласованной проектно-сметной документацией и содержат следующие этапы производства работ: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Транспортировка МТР;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Демонтажные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Строительно-монтажные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Пусконаладочные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Сдача работ рабочей комиссии.</w:t>
      </w: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71"/>
        <w:gridCol w:w="1722"/>
        <w:gridCol w:w="2006"/>
        <w:gridCol w:w="1803"/>
      </w:tblGrid>
      <w:tr w:rsidR="00020EB5">
        <w:trPr>
          <w:trHeight w:val="300"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</w:tabs>
            </w:pPr>
            <w:r>
              <w:rPr>
                <w:color w:val="00000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-107"/>
              </w:tabs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302" w:type="dxa"/>
            <w:gridSpan w:val="4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 инженерно-технических систем охраны</w:t>
            </w:r>
          </w:p>
        </w:tc>
      </w:tr>
      <w:tr w:rsidR="00020EB5">
        <w:trPr>
          <w:trHeight w:val="300"/>
        </w:trPr>
        <w:tc>
          <w:tcPr>
            <w:tcW w:w="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0EB5" w:rsidRDefault="00020EB5">
            <w:pPr>
              <w:tabs>
                <w:tab w:val="left" w:pos="142"/>
              </w:tabs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020EB5" w:rsidRDefault="00020EB5"/>
        </w:tc>
        <w:tc>
          <w:tcPr>
            <w:tcW w:w="177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Ограждение высотой не менее 2,5 метра и спиральным барьером безопасности (СББ) из армированной колючей лентой (АКЛ) «Егоза»</w:t>
            </w:r>
          </w:p>
        </w:tc>
        <w:tc>
          <w:tcPr>
            <w:tcW w:w="17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система охранно-периметральной сигнализации (СОП)</w:t>
            </w:r>
          </w:p>
        </w:tc>
        <w:tc>
          <w:tcPr>
            <w:tcW w:w="20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системы охранно-пожарной сигнализацией (ОПС) и оповещения и управления эвакуацией людей при пожаре (СОУЭ)</w:t>
            </w:r>
          </w:p>
        </w:tc>
        <w:tc>
          <w:tcPr>
            <w:tcW w:w="18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охранного освещения (СОО)</w:t>
            </w:r>
          </w:p>
        </w:tc>
      </w:tr>
      <w:tr w:rsidR="00020EB5">
        <w:trPr>
          <w:trHeight w:val="300"/>
        </w:trPr>
        <w:tc>
          <w:tcPr>
            <w:tcW w:w="5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B5" w:rsidRDefault="00FF5EDF">
            <w:pPr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  <w:tab w:val="left" w:pos="567"/>
              </w:tabs>
              <w:ind w:left="0" w:firstLine="0"/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</w:pPr>
            <w:r>
              <w:rPr>
                <w:color w:val="000000"/>
              </w:rPr>
              <w:t xml:space="preserve">ПС 35 кВ  </w:t>
            </w:r>
            <w:r w:rsidR="00354984">
              <w:rPr>
                <w:color w:val="000000"/>
              </w:rPr>
              <w:t>Жиздра</w:t>
            </w:r>
          </w:p>
        </w:tc>
        <w:tc>
          <w:tcPr>
            <w:tcW w:w="177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7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20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8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020EB5" w:rsidRDefault="00020EB5">
      <w:pPr>
        <w:shd w:val="clear" w:color="auto" w:fill="FFFFFF"/>
        <w:tabs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новыми (при необходимости указывается год выпуска, ранее которого МТР не применяются);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соответствовать проектной документации;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иметь сертификаты, паспорта или другую документацию подтверждающую их качество;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поставляемые материалы и оборудование должны иметь заключение аттестационной комиссии ПАО «Россети» на дату поставки или, в порядке исключения, заключение протокола Комиссии по допуску оборудования, материалов и систем ПАО «Россети Центр» и ПАО «Россети Центр и Приволжье» с решением о допуске к применению не аттестованной продукции (в случае поставки оборудования, технологий или материалов, подлежащих такой аттестации).</w:t>
      </w:r>
    </w:p>
    <w:p w:rsidR="00020EB5" w:rsidRDefault="00020EB5">
      <w:pPr>
        <w:widowControl/>
        <w:tabs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Контроль качества и приемка работ: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работ участвующие в строительстве, совместно с представителями филиала ПАО «Россети Центр и Приволжье»-«Калугаэнерго»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проектной организации  в праве осуществлять авторский надзор за соответствием выполняемых работ проектной документации. 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выполняет функции строительного контроля с выполнением контрольных мероприятий в соответствии действующим законодательством и НТД.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требованиями СП (СНиП).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 установленные приемочной комиссией.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Фактические значения показателей Энергетического паспорта здания, разработанного в разделе ПСД, в соответствии с требованиями "</w:t>
      </w:r>
      <w:hyperlink r:id="rId30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1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" (утв. Приказом Минрегиона России </w:t>
      </w:r>
      <w:hyperlink r:id="rId32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rStyle w:val="aff"/>
            <w:color w:val="0000AA"/>
            <w:sz w:val="24"/>
            <w:szCs w:val="24"/>
          </w:rPr>
          <w:t>от 30.06.2012 N 265</w:t>
        </w:r>
      </w:hyperlink>
      <w:r>
        <w:rPr>
          <w:sz w:val="24"/>
          <w:szCs w:val="24"/>
        </w:rPr>
        <w:t>), Приложение Д, должны быть подтверждены натурными испытаниями, в том числе с подтверждением заявленного класса энергосбережения.</w:t>
      </w:r>
    </w:p>
    <w:p w:rsidR="00020EB5" w:rsidRDefault="00020EB5">
      <w:pPr>
        <w:pStyle w:val="afd"/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20EB5" w:rsidRDefault="00FF5EDF">
      <w:pPr>
        <w:pStyle w:val="af8"/>
        <w:widowControl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Основные требования к выполнению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Строительство объекта выполняется в полном соответствии с проектом </w:t>
      </w:r>
      <w:r w:rsidR="00656916" w:rsidRPr="00656916">
        <w:rPr>
          <w:sz w:val="24"/>
          <w:szCs w:val="24"/>
        </w:rPr>
        <w:t>4020100208-17/05/2024-КС1</w:t>
      </w:r>
      <w:r w:rsidR="00656916">
        <w:rPr>
          <w:sz w:val="24"/>
          <w:szCs w:val="24"/>
        </w:rPr>
        <w:t>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Номенклатура закупаемого оборудования должна соответствовать спецификациям, прилагаемым к проекту.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Вся продукция, указанная в спецификациях рабочей документации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работы должны быть выполнены в соответствии с НТД: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СП (СНиП);</w:t>
      </w:r>
    </w:p>
    <w:p w:rsidR="00020EB5" w:rsidRDefault="003F2C1E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hyperlink r:id="rId3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color w:val="E48B00"/>
            <w:sz w:val="24"/>
            <w:szCs w:val="24"/>
            <w:u w:val="single"/>
            <w:lang w:eastAsia="ar-SA"/>
          </w:rPr>
          <w:t>ПУЭ</w:t>
        </w:r>
      </w:hyperlink>
      <w:r w:rsidR="00FF5EDF">
        <w:rPr>
          <w:sz w:val="24"/>
          <w:szCs w:val="24"/>
          <w:lang w:eastAsia="ar-SA"/>
        </w:rPr>
        <w:t>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руководящими документами;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отраслевыми стандартами и др. документами.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Выбор Субподрядчиков согласовывается с Заказчиком. Подрядчик несет полную ответственность за работу субподрядчика.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самостоятельно оформляет разрешение на производство земляных работ по строительству объекта и несет полную ответственность при нарушении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Все изменения проектных решений должны быть согласованы с филиалом                      ПАО «Россети Центр и Приволжье»-«Калугаэнерго» (в т.ч. УКС) и проектной организацией (в рамках авторского надзора за реализацией проекта).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020EB5" w:rsidRDefault="00020EB5">
      <w:pPr>
        <w:widowControl/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Особые условия</w:t>
      </w:r>
      <w:r>
        <w:rPr>
          <w:rFonts w:eastAsia="Batang"/>
          <w:sz w:val="24"/>
          <w:szCs w:val="24"/>
        </w:rPr>
        <w:t>: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Перед выполнением работ подрядная организация письменно извещает Филиал «Калугаэнерго» о направлении персонала для выполнения работ по каждому договору подряда с указанием цели, срок выполнения работ, 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выполнения строительно-монтажных работ, вместе с актами выполненных работ формы КС-2, КС-3 по каждому договору подряда предоставить копию листа(ов) Журнала вводного инструктажа, копию листа(ов) Журнала первичного инструктажа.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окончании работ сдать демонтированный материал и оборудование по акту в КГЭС. Акт приложить в отчетную документацию. 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завершения работ Подрядчик обеспечивает получение разрешения на допуск в эксплуатацию от  Ростехнадзора.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Отчетная исполнительная документация сдается куратору УКС по акту приемки-передачи.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приказом ПАО «Россети Центр и Приволжья» филиал «Калугаэнерго» «О внесении изменений и дополнений в «Альбом фирменного стиля ПАО «Россети Центр и Приволжья» филиал «Калугаэнерго».  </w:t>
      </w:r>
    </w:p>
    <w:p w:rsidR="00020EB5" w:rsidRDefault="00FF5EDF">
      <w:pPr>
        <w:numPr>
          <w:ilvl w:val="1"/>
          <w:numId w:val="8"/>
        </w:numPr>
        <w:shd w:val="clear" w:color="auto" w:fill="FFFFFF"/>
        <w:spacing w:line="276" w:lineRule="auto"/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Исполнительную документацию и журнал производства работ форма КС-6;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Комплект технической документации, инструкции по монтажу и эксплуатации на русском языке.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освидетельствования скрытых работ;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испытаний;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по пусконаладочным работам в объёме, предусмотренном проектом;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на пересечения с инженерными сооружениями;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lastRenderedPageBreak/>
        <w:t>- 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xml-файле);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Другие, не перечисленные выше документы в соответствии с требованиями ПТЭ, СНиП, ПУЭ и иными НТД.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 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  <w:r>
        <w:rPr>
          <w:i/>
          <w:iCs/>
          <w:color w:val="000000"/>
          <w:spacing w:val="-6"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-Произвести фотофиксацию выполненных работ. Предоставить фотографии объекта с установленными диспетчерскими табличками куратору УКС филиала совместно с исполнительной документацией. </w:t>
      </w:r>
    </w:p>
    <w:p w:rsidR="00020EB5" w:rsidRDefault="00020EB5">
      <w:pPr>
        <w:shd w:val="clear" w:color="auto" w:fill="FFFFFF"/>
        <w:tabs>
          <w:tab w:val="left" w:pos="540"/>
          <w:tab w:val="left" w:pos="851"/>
        </w:tabs>
        <w:jc w:val="both"/>
        <w:rPr>
          <w:bCs/>
          <w:i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Гарантии исполнителя работ:</w:t>
      </w:r>
    </w:p>
    <w:p w:rsidR="00605935" w:rsidRPr="00143781" w:rsidRDefault="00605935" w:rsidP="00605935">
      <w:pPr>
        <w:shd w:val="clear" w:color="auto" w:fill="FFFFFF"/>
        <w:tabs>
          <w:tab w:val="left" w:pos="851"/>
          <w:tab w:val="left" w:pos="900"/>
        </w:tabs>
        <w:jc w:val="both"/>
        <w:rPr>
          <w:sz w:val="24"/>
          <w:szCs w:val="24"/>
        </w:rPr>
      </w:pPr>
      <w:r w:rsidRPr="00143781">
        <w:rPr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20EB5" w:rsidRDefault="00FF5EDF">
      <w:pPr>
        <w:pStyle w:val="af8"/>
        <w:numPr>
          <w:ilvl w:val="1"/>
          <w:numId w:val="8"/>
        </w:numPr>
        <w:shd w:val="clear" w:color="auto" w:fill="FFFFFF"/>
        <w:tabs>
          <w:tab w:val="left" w:pos="851"/>
          <w:tab w:val="left" w:pos="900"/>
        </w:tabs>
        <w:spacing w:line="276" w:lineRule="auto"/>
        <w:ind w:left="709" w:hanging="709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Исполнитель должен обеспечить: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Соблюдение сроков сдачи Заказчику законченных этапов в целом;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Устранение за свой счёт дефектов по вине Подрядчика, выявленных в процессе эксплуатации в течение гарантийного срока.</w:t>
      </w:r>
      <w:bookmarkStart w:id="0" w:name="_GoBack"/>
      <w:bookmarkEnd w:id="0"/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-Счета-фактуры, подтверждающих стоимость материалов и их количество;</w:t>
      </w:r>
    </w:p>
    <w:p w:rsidR="00020EB5" w:rsidRDefault="00020EB5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spacing w:line="276" w:lineRule="auto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Сроки выполнения работ:</w:t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Начало строительно-монтажных работ – с момента заключения договора</w:t>
      </w:r>
      <w:r>
        <w:rPr>
          <w:sz w:val="24"/>
          <w:szCs w:val="24"/>
        </w:rPr>
        <w:tab/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Окончание строительно-монтажных работ – 30 </w:t>
      </w:r>
      <w:r w:rsidR="0015240A">
        <w:rPr>
          <w:sz w:val="24"/>
          <w:szCs w:val="24"/>
        </w:rPr>
        <w:t>октября</w:t>
      </w:r>
      <w:r>
        <w:rPr>
          <w:sz w:val="24"/>
          <w:szCs w:val="24"/>
        </w:rPr>
        <w:t xml:space="preserve"> 202</w:t>
      </w:r>
      <w:r w:rsidR="0015240A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020EB5" w:rsidRDefault="00FF5EDF">
      <w:pPr>
        <w:tabs>
          <w:tab w:val="left" w:pos="540"/>
          <w:tab w:val="left" w:pos="851"/>
          <w:tab w:val="left" w:pos="7088"/>
        </w:tabs>
        <w:rPr>
          <w:b/>
        </w:rPr>
      </w:pPr>
      <w:r>
        <w:rPr>
          <w:b/>
          <w:sz w:val="24"/>
          <w:szCs w:val="24"/>
        </w:rPr>
        <w:t>11   Меры по предоставлению национального режима.</w:t>
      </w:r>
    </w:p>
    <w:p w:rsidR="00020EB5" w:rsidRDefault="00FF5EDF">
      <w:pPr>
        <w:pStyle w:val="aff1"/>
        <w:spacing w:before="0" w:beforeAutospacing="0" w:after="0" w:afterAutospacing="0"/>
        <w:jc w:val="both"/>
      </w:pPr>
      <w: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CellSpacing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41"/>
        <w:gridCol w:w="3458"/>
        <w:gridCol w:w="805"/>
        <w:gridCol w:w="810"/>
        <w:gridCol w:w="1312"/>
        <w:gridCol w:w="2297"/>
      </w:tblGrid>
      <w:tr w:rsidR="00020EB5">
        <w:trPr>
          <w:trHeight w:val="599"/>
          <w:tblCellSpacing w:w="0" w:type="dxa"/>
          <w:jc w:val="center"/>
        </w:trPr>
        <w:tc>
          <w:tcPr>
            <w:tcW w:w="5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020EB5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Style w:val="6540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национального режима в соответствии с ПП 1875 от 23.12.2024 г.</w:t>
            </w:r>
          </w:p>
        </w:tc>
      </w:tr>
      <w:tr w:rsidR="00020EB5">
        <w:trPr>
          <w:trHeight w:val="1034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№п.п.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Наименование. По </w:t>
            </w:r>
            <w:r>
              <w:rPr>
                <w:lang w:eastAsia="en-US"/>
              </w:rPr>
              <w:t>результатам исполнения договора будут отражены в учёте предприятия следующие товары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ЕИ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Кол-во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ОКПД2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Мера применения национального режима (запрет, ограничение, преимущество</w:t>
            </w:r>
          </w:p>
        </w:tc>
      </w:tr>
      <w:tr w:rsidR="00020EB5" w:rsidTr="00FF5EDF">
        <w:trPr>
          <w:trHeight w:val="380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 Ограждение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43.29.12.110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  <w:tr w:rsidR="00020EB5">
        <w:trPr>
          <w:trHeight w:val="615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Система охранной и пожарной сигнализации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43.21.10.140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</w:tbl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FF5EDF" w:rsidRDefault="00FF5EDF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Заместителя директора по безопасности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5669"/>
        </w:tabs>
        <w:jc w:val="both"/>
      </w:pPr>
      <w:r>
        <w:rPr>
          <w:color w:val="000000"/>
          <w:sz w:val="24"/>
        </w:rPr>
        <w:t>филиала «Калугаэнерго»</w:t>
      </w:r>
      <w:r>
        <w:rPr>
          <w:color w:val="000000"/>
          <w:sz w:val="24"/>
        </w:rPr>
        <w:tab/>
        <w:t>__________</w:t>
      </w:r>
      <w:r>
        <w:rPr>
          <w:color w:val="000000"/>
          <w:sz w:val="24"/>
        </w:rPr>
        <w:tab/>
        <w:t>/С.В. Шевельков /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 </w:t>
      </w:r>
      <w:r>
        <w:rPr>
          <w:color w:val="000000"/>
          <w:sz w:val="16"/>
        </w:rPr>
        <w:t>Исп. Грехов В.А.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rPr>
          <w:sz w:val="24"/>
          <w:szCs w:val="24"/>
        </w:rPr>
      </w:pPr>
      <w:r>
        <w:rPr>
          <w:color w:val="000000"/>
          <w:sz w:val="16"/>
        </w:rPr>
        <w:t> (тел. 716259)</w:t>
      </w:r>
    </w:p>
    <w:sectPr w:rsidR="00020EB5">
      <w:footerReference w:type="default" r:id="rId34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C1E" w:rsidRDefault="003F2C1E">
      <w:r>
        <w:separator/>
      </w:r>
    </w:p>
  </w:endnote>
  <w:endnote w:type="continuationSeparator" w:id="0">
    <w:p w:rsidR="003F2C1E" w:rsidRDefault="003F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662228"/>
      <w:docPartObj>
        <w:docPartGallery w:val="Page Numbers (Bottom of Page)"/>
        <w:docPartUnique/>
      </w:docPartObj>
    </w:sdtPr>
    <w:sdtEndPr/>
    <w:sdtContent>
      <w:p w:rsidR="00020EB5" w:rsidRDefault="00FF5ED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935">
          <w:rPr>
            <w:noProof/>
          </w:rPr>
          <w:t>5</w:t>
        </w:r>
        <w:r>
          <w:fldChar w:fldCharType="end"/>
        </w:r>
      </w:p>
    </w:sdtContent>
  </w:sdt>
  <w:p w:rsidR="00020EB5" w:rsidRDefault="00020EB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C1E" w:rsidRDefault="003F2C1E">
      <w:r>
        <w:separator/>
      </w:r>
    </w:p>
  </w:footnote>
  <w:footnote w:type="continuationSeparator" w:id="0">
    <w:p w:rsidR="003F2C1E" w:rsidRDefault="003F2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56DBF"/>
    <w:multiLevelType w:val="multilevel"/>
    <w:tmpl w:val="688A1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 w15:restartNumberingAfterBreak="0">
    <w:nsid w:val="17F251B2"/>
    <w:multiLevelType w:val="hybridMultilevel"/>
    <w:tmpl w:val="DDCEB9DE"/>
    <w:lvl w:ilvl="0" w:tplc="F26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C2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2B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41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D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6B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79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83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09EF"/>
    <w:multiLevelType w:val="multilevel"/>
    <w:tmpl w:val="AF8C1F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3" w15:restartNumberingAfterBreak="0">
    <w:nsid w:val="1FBE768B"/>
    <w:multiLevelType w:val="multilevel"/>
    <w:tmpl w:val="0284042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23C27FE4"/>
    <w:multiLevelType w:val="hybridMultilevel"/>
    <w:tmpl w:val="4CCCB0C0"/>
    <w:lvl w:ilvl="0" w:tplc="63F89738">
      <w:start w:val="1"/>
      <w:numFmt w:val="decimal"/>
      <w:lvlText w:val="%1."/>
      <w:lvlJc w:val="left"/>
      <w:pPr>
        <w:ind w:left="720" w:hanging="360"/>
      </w:pPr>
    </w:lvl>
    <w:lvl w:ilvl="1" w:tplc="CB54F6F4">
      <w:start w:val="1"/>
      <w:numFmt w:val="lowerLetter"/>
      <w:lvlText w:val="%2."/>
      <w:lvlJc w:val="left"/>
      <w:pPr>
        <w:ind w:left="1440" w:hanging="360"/>
      </w:pPr>
    </w:lvl>
    <w:lvl w:ilvl="2" w:tplc="81506312">
      <w:start w:val="1"/>
      <w:numFmt w:val="lowerRoman"/>
      <w:lvlText w:val="%3."/>
      <w:lvlJc w:val="right"/>
      <w:pPr>
        <w:ind w:left="2160" w:hanging="360"/>
      </w:pPr>
    </w:lvl>
    <w:lvl w:ilvl="3" w:tplc="30908970">
      <w:start w:val="1"/>
      <w:numFmt w:val="decimal"/>
      <w:lvlText w:val="%4."/>
      <w:lvlJc w:val="left"/>
      <w:pPr>
        <w:ind w:left="2880" w:hanging="360"/>
      </w:pPr>
    </w:lvl>
    <w:lvl w:ilvl="4" w:tplc="183AC71E">
      <w:start w:val="1"/>
      <w:numFmt w:val="lowerLetter"/>
      <w:lvlText w:val="%5."/>
      <w:lvlJc w:val="left"/>
      <w:pPr>
        <w:ind w:left="3600" w:hanging="360"/>
      </w:pPr>
    </w:lvl>
    <w:lvl w:ilvl="5" w:tplc="4F282664">
      <w:start w:val="1"/>
      <w:numFmt w:val="lowerRoman"/>
      <w:lvlText w:val="%6."/>
      <w:lvlJc w:val="right"/>
      <w:pPr>
        <w:ind w:left="4320" w:hanging="360"/>
      </w:pPr>
    </w:lvl>
    <w:lvl w:ilvl="6" w:tplc="50540E1C">
      <w:start w:val="1"/>
      <w:numFmt w:val="decimal"/>
      <w:lvlText w:val="%7."/>
      <w:lvlJc w:val="left"/>
      <w:pPr>
        <w:ind w:left="5040" w:hanging="360"/>
      </w:pPr>
    </w:lvl>
    <w:lvl w:ilvl="7" w:tplc="8782F3EC">
      <w:start w:val="1"/>
      <w:numFmt w:val="lowerLetter"/>
      <w:lvlText w:val="%8."/>
      <w:lvlJc w:val="left"/>
      <w:pPr>
        <w:ind w:left="5760" w:hanging="360"/>
      </w:pPr>
    </w:lvl>
    <w:lvl w:ilvl="8" w:tplc="433A57A0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2ABD3D38"/>
    <w:multiLevelType w:val="hybridMultilevel"/>
    <w:tmpl w:val="A94C5EFC"/>
    <w:lvl w:ilvl="0" w:tplc="6466F99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7180D9E0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FC201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801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7032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8C2B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6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AA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24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656AC"/>
    <w:multiLevelType w:val="hybridMultilevel"/>
    <w:tmpl w:val="8C30AA76"/>
    <w:lvl w:ilvl="0" w:tplc="2376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02C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4C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8C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C9C8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AA621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8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853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E3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61D9E"/>
    <w:multiLevelType w:val="hybridMultilevel"/>
    <w:tmpl w:val="F9444DB8"/>
    <w:lvl w:ilvl="0" w:tplc="FF1684F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3F74B728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189679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2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CE0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E4D6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A68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A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BE88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B07C29"/>
    <w:multiLevelType w:val="hybridMultilevel"/>
    <w:tmpl w:val="EBEEC71E"/>
    <w:lvl w:ilvl="0" w:tplc="75887670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333046F4">
      <w:start w:val="1"/>
      <w:numFmt w:val="lowerLetter"/>
      <w:lvlText w:val="%2."/>
      <w:lvlJc w:val="left"/>
      <w:pPr>
        <w:ind w:left="1800" w:hanging="360"/>
      </w:pPr>
    </w:lvl>
    <w:lvl w:ilvl="2" w:tplc="887CA75E">
      <w:start w:val="1"/>
      <w:numFmt w:val="lowerRoman"/>
      <w:lvlText w:val="%3."/>
      <w:lvlJc w:val="right"/>
      <w:pPr>
        <w:ind w:left="2520" w:hanging="180"/>
      </w:pPr>
    </w:lvl>
    <w:lvl w:ilvl="3" w:tplc="482883DE">
      <w:start w:val="1"/>
      <w:numFmt w:val="decimal"/>
      <w:lvlText w:val="%4."/>
      <w:lvlJc w:val="left"/>
      <w:pPr>
        <w:ind w:left="3240" w:hanging="360"/>
      </w:pPr>
    </w:lvl>
    <w:lvl w:ilvl="4" w:tplc="640A64E2">
      <w:start w:val="1"/>
      <w:numFmt w:val="lowerLetter"/>
      <w:lvlText w:val="%5."/>
      <w:lvlJc w:val="left"/>
      <w:pPr>
        <w:ind w:left="3960" w:hanging="360"/>
      </w:pPr>
    </w:lvl>
    <w:lvl w:ilvl="5" w:tplc="C0B46722">
      <w:start w:val="1"/>
      <w:numFmt w:val="lowerRoman"/>
      <w:lvlText w:val="%6."/>
      <w:lvlJc w:val="right"/>
      <w:pPr>
        <w:ind w:left="4680" w:hanging="180"/>
      </w:pPr>
    </w:lvl>
    <w:lvl w:ilvl="6" w:tplc="0D920618">
      <w:start w:val="1"/>
      <w:numFmt w:val="decimal"/>
      <w:lvlText w:val="%7."/>
      <w:lvlJc w:val="left"/>
      <w:pPr>
        <w:ind w:left="5400" w:hanging="360"/>
      </w:pPr>
    </w:lvl>
    <w:lvl w:ilvl="7" w:tplc="2B6E74C8">
      <w:start w:val="1"/>
      <w:numFmt w:val="lowerLetter"/>
      <w:lvlText w:val="%8."/>
      <w:lvlJc w:val="left"/>
      <w:pPr>
        <w:ind w:left="6120" w:hanging="360"/>
      </w:pPr>
    </w:lvl>
    <w:lvl w:ilvl="8" w:tplc="B44694D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95C"/>
    <w:multiLevelType w:val="multilevel"/>
    <w:tmpl w:val="B312386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0" w15:restartNumberingAfterBreak="0">
    <w:nsid w:val="4CA34FF0"/>
    <w:multiLevelType w:val="hybridMultilevel"/>
    <w:tmpl w:val="FF9824B2"/>
    <w:lvl w:ilvl="0" w:tplc="2F7AA09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184A3B66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028069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67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CCBD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2D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3776AD"/>
    <w:multiLevelType w:val="hybridMultilevel"/>
    <w:tmpl w:val="329839FC"/>
    <w:lvl w:ilvl="0" w:tplc="D898FCD2">
      <w:start w:val="1"/>
      <w:numFmt w:val="decimal"/>
      <w:lvlText w:val="%1."/>
      <w:lvlJc w:val="left"/>
      <w:pPr>
        <w:ind w:left="720" w:hanging="360"/>
      </w:pPr>
    </w:lvl>
    <w:lvl w:ilvl="1" w:tplc="C61227D2">
      <w:start w:val="1"/>
      <w:numFmt w:val="lowerLetter"/>
      <w:lvlText w:val="%2."/>
      <w:lvlJc w:val="left"/>
      <w:pPr>
        <w:ind w:left="1440" w:hanging="360"/>
      </w:pPr>
    </w:lvl>
    <w:lvl w:ilvl="2" w:tplc="FD30AFAE">
      <w:start w:val="1"/>
      <w:numFmt w:val="lowerRoman"/>
      <w:lvlText w:val="%3."/>
      <w:lvlJc w:val="right"/>
      <w:pPr>
        <w:ind w:left="2160" w:hanging="180"/>
      </w:pPr>
    </w:lvl>
    <w:lvl w:ilvl="3" w:tplc="1C86C350">
      <w:start w:val="1"/>
      <w:numFmt w:val="decimal"/>
      <w:lvlText w:val="%4."/>
      <w:lvlJc w:val="left"/>
      <w:pPr>
        <w:ind w:left="2880" w:hanging="360"/>
      </w:pPr>
    </w:lvl>
    <w:lvl w:ilvl="4" w:tplc="784C9DE4">
      <w:start w:val="1"/>
      <w:numFmt w:val="lowerLetter"/>
      <w:lvlText w:val="%5."/>
      <w:lvlJc w:val="left"/>
      <w:pPr>
        <w:ind w:left="3600" w:hanging="360"/>
      </w:pPr>
    </w:lvl>
    <w:lvl w:ilvl="5" w:tplc="BC44EE86">
      <w:start w:val="1"/>
      <w:numFmt w:val="lowerRoman"/>
      <w:lvlText w:val="%6."/>
      <w:lvlJc w:val="right"/>
      <w:pPr>
        <w:ind w:left="4320" w:hanging="180"/>
      </w:pPr>
    </w:lvl>
    <w:lvl w:ilvl="6" w:tplc="0DDC3368">
      <w:start w:val="1"/>
      <w:numFmt w:val="decimal"/>
      <w:lvlText w:val="%7."/>
      <w:lvlJc w:val="left"/>
      <w:pPr>
        <w:ind w:left="5040" w:hanging="360"/>
      </w:pPr>
    </w:lvl>
    <w:lvl w:ilvl="7" w:tplc="9DAEA88A">
      <w:start w:val="1"/>
      <w:numFmt w:val="lowerLetter"/>
      <w:lvlText w:val="%8."/>
      <w:lvlJc w:val="left"/>
      <w:pPr>
        <w:ind w:left="5760" w:hanging="360"/>
      </w:pPr>
    </w:lvl>
    <w:lvl w:ilvl="8" w:tplc="2EE67A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A5971"/>
    <w:multiLevelType w:val="multilevel"/>
    <w:tmpl w:val="34563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" w15:restartNumberingAfterBreak="0">
    <w:nsid w:val="75AA5EE9"/>
    <w:multiLevelType w:val="multilevel"/>
    <w:tmpl w:val="832EE35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6271992"/>
    <w:multiLevelType w:val="multilevel"/>
    <w:tmpl w:val="CF8A7510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8095454"/>
    <w:multiLevelType w:val="multilevel"/>
    <w:tmpl w:val="442CD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2"/>
  </w:num>
  <w:num w:numId="5">
    <w:abstractNumId w:val="0"/>
  </w:num>
  <w:num w:numId="6">
    <w:abstractNumId w:val="15"/>
  </w:num>
  <w:num w:numId="7">
    <w:abstractNumId w:val="12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B5"/>
    <w:rsid w:val="00020EB5"/>
    <w:rsid w:val="00123726"/>
    <w:rsid w:val="0015240A"/>
    <w:rsid w:val="001A7C0B"/>
    <w:rsid w:val="00354984"/>
    <w:rsid w:val="003F2C1E"/>
    <w:rsid w:val="00605935"/>
    <w:rsid w:val="00656916"/>
    <w:rsid w:val="006B4275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4DA80-C615-42A5-B7DA-089D9C78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Plain Text"/>
    <w:basedOn w:val="a"/>
    <w:link w:val="afa"/>
    <w:uiPriority w:val="99"/>
    <w:semiHidden/>
    <w:unhideWhenUsed/>
    <w:pPr>
      <w:widowControl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Pr>
      <w:rFonts w:ascii="Calibri" w:hAnsi="Calibri"/>
      <w:szCs w:val="21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"/>
    <w:link w:val="afe"/>
    <w:pPr>
      <w:widowControl/>
      <w:ind w:left="720" w:hanging="720"/>
      <w:jc w:val="center"/>
    </w:pPr>
    <w:rPr>
      <w:sz w:val="28"/>
      <w:lang w:eastAsia="ar-SA"/>
    </w:rPr>
  </w:style>
  <w:style w:type="character" w:customStyle="1" w:styleId="afe">
    <w:name w:val="Основной текст с отступом Знак"/>
    <w:basedOn w:val="a0"/>
    <w:link w:val="af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f">
    <w:name w:val="Hyperlink"/>
    <w:uiPriority w:val="99"/>
    <w:unhideWhenUsed/>
    <w:rPr>
      <w:color w:val="0563C1"/>
      <w:u w:val="single"/>
    </w:rPr>
  </w:style>
  <w:style w:type="paragraph" w:customStyle="1" w:styleId="aff0">
    <w:name w:val="Подподпункт"/>
    <w:basedOn w:val="a"/>
    <w:pPr>
      <w:widowControl/>
      <w:tabs>
        <w:tab w:val="num" w:pos="1701"/>
      </w:tabs>
      <w:spacing w:line="360" w:lineRule="auto"/>
      <w:ind w:left="1701" w:hanging="567"/>
      <w:jc w:val="both"/>
    </w:pPr>
    <w:rPr>
      <w:sz w:val="28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6540">
    <w:name w:val="6540"/>
    <w:basedOn w:val="a"/>
    <w:uiPriority w:val="9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08858" TargetMode="External"/><Relationship Id="rId18" Type="http://schemas.openxmlformats.org/officeDocument/2006/relationships/hyperlink" Target="kodeks://link/d?nd=901829466" TargetMode="External"/><Relationship Id="rId26" Type="http://schemas.openxmlformats.org/officeDocument/2006/relationships/hyperlink" Target="kodeks://link/d?nd=120000311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555603336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kodeks://link/d?nd=542616931" TargetMode="External"/><Relationship Id="rId17" Type="http://schemas.openxmlformats.org/officeDocument/2006/relationships/hyperlink" Target="kodeks://link/d?nd=901794520" TargetMode="External"/><Relationship Id="rId25" Type="http://schemas.openxmlformats.org/officeDocument/2006/relationships/hyperlink" Target="kodeks://link/d?nd=1200060588" TargetMode="External"/><Relationship Id="rId33" Type="http://schemas.openxmlformats.org/officeDocument/2006/relationships/hyperlink" Target="kodeks://link/d?nd=1200003114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564542209" TargetMode="External"/><Relationship Id="rId20" Type="http://schemas.openxmlformats.org/officeDocument/2006/relationships/hyperlink" Target="kodeks://link/d?nd=555603336" TargetMode="External"/><Relationship Id="rId29" Type="http://schemas.openxmlformats.org/officeDocument/2006/relationships/hyperlink" Target="kodeks://link/d?nd=12000896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56499040" TargetMode="External"/><Relationship Id="rId24" Type="http://schemas.openxmlformats.org/officeDocument/2006/relationships/hyperlink" Target="kodeks://link/d?nd=1301713019" TargetMode="External"/><Relationship Id="rId32" Type="http://schemas.openxmlformats.org/officeDocument/2006/relationships/hyperlink" Target="kodeks://link/d?nd=4990751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4542209" TargetMode="External"/><Relationship Id="rId23" Type="http://schemas.openxmlformats.org/officeDocument/2006/relationships/hyperlink" Target="kodeks://link/d?nd=456050591" TargetMode="External"/><Relationship Id="rId28" Type="http://schemas.openxmlformats.org/officeDocument/2006/relationships/hyperlink" Target="kodeks://link/d?nd=1200095525" TargetMode="External"/><Relationship Id="rId36" Type="http://schemas.openxmlformats.org/officeDocument/2006/relationships/theme" Target="theme/theme1.xml"/><Relationship Id="rId10" Type="http://schemas.openxmlformats.org/officeDocument/2006/relationships/hyperlink" Target="kodeks://link/d?nd=436752114" TargetMode="External"/><Relationship Id="rId19" Type="http://schemas.openxmlformats.org/officeDocument/2006/relationships/hyperlink" Target="kodeks://link/d?nd=9054709" TargetMode="External"/><Relationship Id="rId31" Type="http://schemas.openxmlformats.org/officeDocument/2006/relationships/hyperlink" Target="kodeks://link/d?nd=1200095525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2222619" TargetMode="External"/><Relationship Id="rId22" Type="http://schemas.openxmlformats.org/officeDocument/2006/relationships/hyperlink" Target="kodeks://link/d?nd=456050591" TargetMode="External"/><Relationship Id="rId27" Type="http://schemas.openxmlformats.org/officeDocument/2006/relationships/hyperlink" Target="kodeks://link/d?nd=1200095525" TargetMode="External"/><Relationship Id="rId30" Type="http://schemas.openxmlformats.org/officeDocument/2006/relationships/hyperlink" Target="kodeks://link/d?nd=1200095525" TargetMode="External"/><Relationship Id="rId35" Type="http://schemas.openxmlformats.org/officeDocument/2006/relationships/fontTable" Target="fontTable.xml"/><Relationship Id="rId8" Type="http://schemas.openxmlformats.org/officeDocument/2006/relationships/hyperlink" Target="kodeks://link/d?nd=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6BDF-0A9E-4FB4-9226-AF029ABA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3655</Words>
  <Characters>20837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 Артем Владимирович</dc:creator>
  <cp:lastModifiedBy>Петушкова Ольга Викторовна</cp:lastModifiedBy>
  <cp:revision>12</cp:revision>
  <cp:lastPrinted>2026-02-24T10:49:00Z</cp:lastPrinted>
  <dcterms:created xsi:type="dcterms:W3CDTF">2025-04-01T11:16:00Z</dcterms:created>
  <dcterms:modified xsi:type="dcterms:W3CDTF">2026-07-01T10:14:00Z</dcterms:modified>
</cp:coreProperties>
</file>